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5778" w:type="dxa"/>
          </w:tcPr>
          <w:p w:rsidR="00413E8D" w:rsidRPr="00C1573E" w:rsidRDefault="00C1573E" w:rsidP="00C1573E">
            <w:pPr>
              <w:pStyle w:val="Heading1"/>
              <w:outlineLvl w:val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Politehnica University of Bucharest</w:t>
            </w:r>
          </w:p>
        </w:tc>
      </w:tr>
      <w:tr w:rsidR="00413E8D" w:rsidRPr="00413E8D" w:rsidTr="00413E8D">
        <w:trPr>
          <w:trHeight w:val="224"/>
        </w:trPr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5778" w:type="dxa"/>
          </w:tcPr>
          <w:p w:rsidR="00413E8D" w:rsidRPr="00C1573E" w:rsidRDefault="00C1573E" w:rsidP="00C1573E">
            <w:pPr>
              <w:pStyle w:val="Heading1"/>
              <w:outlineLvl w:val="0"/>
              <w:rPr>
                <w:szCs w:val="24"/>
                <w:lang w:val="ro-RO"/>
              </w:rPr>
            </w:pPr>
            <w:r w:rsidRPr="00413E8D">
              <w:rPr>
                <w:szCs w:val="24"/>
                <w:lang w:val="ro-RO"/>
              </w:rPr>
              <w:t>Facult</w:t>
            </w:r>
            <w:r>
              <w:rPr>
                <w:szCs w:val="24"/>
                <w:lang w:val="ro-RO"/>
              </w:rPr>
              <w:t>y</w:t>
            </w:r>
            <w:r w:rsidRPr="00413E8D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of</w:t>
            </w:r>
            <w:r w:rsidRPr="00413E8D">
              <w:rPr>
                <w:szCs w:val="24"/>
                <w:lang w:val="ro-RO"/>
              </w:rPr>
              <w:t xml:space="preserve"> Electronic</w:t>
            </w:r>
            <w:r>
              <w:rPr>
                <w:szCs w:val="24"/>
                <w:lang w:val="ro-RO"/>
              </w:rPr>
              <w:t>s</w:t>
            </w:r>
            <w:r w:rsidRPr="00413E8D">
              <w:rPr>
                <w:szCs w:val="24"/>
                <w:lang w:val="ro-RO"/>
              </w:rPr>
              <w:t>, Teleco</w:t>
            </w:r>
            <w:r>
              <w:rPr>
                <w:szCs w:val="24"/>
                <w:lang w:val="ro-RO"/>
              </w:rPr>
              <w:t>m</w:t>
            </w:r>
            <w:r w:rsidRPr="00413E8D">
              <w:rPr>
                <w:szCs w:val="24"/>
                <w:lang w:val="ro-RO"/>
              </w:rPr>
              <w:t>munica</w:t>
            </w:r>
            <w:r>
              <w:rPr>
                <w:szCs w:val="24"/>
                <w:lang w:val="ro-RO"/>
              </w:rPr>
              <w:t>tions and</w:t>
            </w:r>
            <w:r w:rsidRPr="00413E8D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Information Technology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5778" w:type="dxa"/>
          </w:tcPr>
          <w:p w:rsidR="00413E8D" w:rsidRPr="00413E8D" w:rsidRDefault="00C1573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t>Applied Electronics and Information Engineering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5778" w:type="dxa"/>
          </w:tcPr>
          <w:p w:rsidR="00413E8D" w:rsidRPr="00413E8D" w:rsidRDefault="002C710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Computers and Information Technology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5778" w:type="dxa"/>
          </w:tcPr>
          <w:p w:rsidR="00413E8D" w:rsidRPr="00413E8D" w:rsidRDefault="002C710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Licence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Qu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alifica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</w:p>
        </w:tc>
        <w:tc>
          <w:tcPr>
            <w:tcW w:w="5778" w:type="dxa"/>
          </w:tcPr>
          <w:p w:rsidR="00413E8D" w:rsidRPr="00413E8D" w:rsidRDefault="002C710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Information Engineering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ook w:val="04A0"/>
      </w:tblPr>
      <w:tblGrid>
        <w:gridCol w:w="1180"/>
        <w:gridCol w:w="1157"/>
        <w:gridCol w:w="1192"/>
        <w:gridCol w:w="1149"/>
        <w:gridCol w:w="1256"/>
        <w:gridCol w:w="1172"/>
        <w:gridCol w:w="1200"/>
        <w:gridCol w:w="1270"/>
      </w:tblGrid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4798" w:type="dxa"/>
            <w:gridSpan w:val="4"/>
          </w:tcPr>
          <w:p w:rsidR="00413E8D" w:rsidRPr="00EC4CF7" w:rsidRDefault="00EC4CF7" w:rsidP="00EC4CF7">
            <w:pPr>
              <w:spacing w:after="58"/>
              <w:ind w:left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Image Processing (PI) 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4798" w:type="dxa"/>
            <w:gridSpan w:val="4"/>
          </w:tcPr>
          <w:p w:rsidR="00413E8D" w:rsidRDefault="00E962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Lect. Dr. eng. Marta Maria Zamfir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4798" w:type="dxa"/>
            <w:gridSpan w:val="4"/>
          </w:tcPr>
          <w:p w:rsidR="00413E8D" w:rsidRDefault="00E962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Lect. Dr. eng. Marta Maria Zamfir</w:t>
            </w:r>
          </w:p>
        </w:tc>
      </w:tr>
      <w:tr w:rsidR="00413E8D" w:rsidTr="00413E8D">
        <w:tc>
          <w:tcPr>
            <w:tcW w:w="1195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193" w:type="dxa"/>
          </w:tcPr>
          <w:p w:rsidR="00413E8D" w:rsidRDefault="00EC4CF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IV</w:t>
            </w:r>
          </w:p>
        </w:tc>
        <w:tc>
          <w:tcPr>
            <w:tcW w:w="1197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1193" w:type="dxa"/>
          </w:tcPr>
          <w:p w:rsidR="00413E8D" w:rsidRDefault="00EC4CF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1196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 xml:space="preserve"> type</w:t>
            </w:r>
          </w:p>
        </w:tc>
        <w:tc>
          <w:tcPr>
            <w:tcW w:w="1193" w:type="dxa"/>
          </w:tcPr>
          <w:p w:rsidR="00413E8D" w:rsidRDefault="008F341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</w:t>
            </w:r>
          </w:p>
        </w:tc>
        <w:tc>
          <w:tcPr>
            <w:tcW w:w="1216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193" w:type="dxa"/>
          </w:tcPr>
          <w:p w:rsidR="00413E8D" w:rsidRDefault="00C134B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Mandatory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095"/>
        <w:gridCol w:w="305"/>
        <w:gridCol w:w="410"/>
        <w:gridCol w:w="987"/>
        <w:gridCol w:w="715"/>
        <w:gridCol w:w="107"/>
        <w:gridCol w:w="2207"/>
        <w:gridCol w:w="750"/>
      </w:tblGrid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20" w:type="dxa"/>
            <w:gridSpan w:val="2"/>
          </w:tcPr>
          <w:p w:rsidR="00413E8D" w:rsidRDefault="004B166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4B166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4B166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20" w:type="dxa"/>
            <w:gridSpan w:val="2"/>
          </w:tcPr>
          <w:p w:rsidR="00413E8D" w:rsidRDefault="00D527F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D527F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D527F2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="00A3672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time</w:t>
            </w:r>
          </w:p>
        </w:tc>
        <w:tc>
          <w:tcPr>
            <w:tcW w:w="648" w:type="dxa"/>
          </w:tcPr>
          <w:p w:rsidR="00114889" w:rsidRDefault="00A36725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35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BC65D1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</w:t>
            </w:r>
            <w:r w:rsidR="00E120B6">
              <w:rPr>
                <w:rFonts w:ascii="TimesNewRoman" w:hAnsi="TimesNewRoman" w:cs="TimesNewRoman"/>
                <w:sz w:val="24"/>
                <w:szCs w:val="24"/>
              </w:rPr>
              <w:t>electronic access resources, in the field, etc)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homeworks,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A3672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413E8D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7E37A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F24CD9" w:rsidRPr="00B65606" w:rsidRDefault="00F24CD9" w:rsidP="00F24CD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65606">
              <w:rPr>
                <w:rFonts w:ascii="TimesNewRoman" w:hAnsi="TimesNewRoman" w:cs="TimesNewRoman"/>
                <w:sz w:val="24"/>
                <w:szCs w:val="24"/>
              </w:rPr>
              <w:t>Deci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B65606">
              <w:rPr>
                <w:rFonts w:ascii="TimesNewRoman" w:hAnsi="TimesNewRoman" w:cs="TimesNewRoman"/>
                <w:sz w:val="24"/>
                <w:szCs w:val="24"/>
              </w:rPr>
              <w:t>i</w:t>
            </w:r>
            <w:r>
              <w:rPr>
                <w:rFonts w:ascii="TimesNewRoman" w:hAnsi="TimesNewRoman" w:cs="TimesNewRoman"/>
                <w:sz w:val="24"/>
                <w:szCs w:val="24"/>
              </w:rPr>
              <w:t>on and Estimation in I</w:t>
            </w:r>
            <w:r w:rsidRPr="00B65606">
              <w:rPr>
                <w:rFonts w:ascii="TimesNewRoman" w:hAnsi="TimesNewRoman" w:cs="TimesNewRoman"/>
                <w:sz w:val="24"/>
                <w:szCs w:val="24"/>
              </w:rPr>
              <w:t>nforma</w:t>
            </w: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Pr="00B65606">
              <w:rPr>
                <w:rFonts w:ascii="TimesNewRoman" w:hAnsi="TimesNewRoman" w:cs="TimesNewRoman"/>
                <w:sz w:val="24"/>
                <w:szCs w:val="24"/>
              </w:rPr>
              <w:t>i</w:t>
            </w:r>
            <w:r>
              <w:rPr>
                <w:rFonts w:ascii="TimesNewRoman" w:hAnsi="TimesNewRoman" w:cs="TimesNewRoman"/>
                <w:sz w:val="24"/>
                <w:szCs w:val="24"/>
              </w:rPr>
              <w:t>on Processing</w:t>
            </w:r>
          </w:p>
          <w:p w:rsidR="00F24CD9" w:rsidRDefault="00F24CD9" w:rsidP="00F24CD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65606">
              <w:rPr>
                <w:rFonts w:ascii="TimesNewRoman" w:hAnsi="TimesNewRoman" w:cs="TimesNewRoman"/>
                <w:sz w:val="24"/>
                <w:szCs w:val="24"/>
              </w:rPr>
              <w:t>Algorit</w:t>
            </w:r>
            <w:r>
              <w:rPr>
                <w:rFonts w:ascii="TimesNewRoman" w:hAnsi="TimesNewRoman" w:cs="TimesNewRoman"/>
                <w:sz w:val="24"/>
                <w:szCs w:val="24"/>
              </w:rPr>
              <w:t>hms and Data Structures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5C32F4" w:rsidP="005C32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General knowledge of signal processing, decision and estimation, as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well as programming (Matlab proficiency)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1128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Not applicable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1128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Presence at all lab sessions (as required by the UPB regulations for licence studies).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3D09" w:rsidRPr="00B65606" w:rsidRDefault="004E3D09" w:rsidP="004E3D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65606">
              <w:rPr>
                <w:rFonts w:ascii="TimesNewRoman" w:hAnsi="TimesNewRoman" w:cs="TimesNewRoman"/>
                <w:sz w:val="24"/>
                <w:szCs w:val="24"/>
              </w:rPr>
              <w:t>C3. Sol</w:t>
            </w:r>
            <w:r>
              <w:rPr>
                <w:rFonts w:ascii="TimesNewRoman" w:hAnsi="TimesNewRoman" w:cs="TimesNewRoman"/>
                <w:sz w:val="24"/>
                <w:szCs w:val="24"/>
              </w:rPr>
              <w:t>ving problems using the instruments of computer science and engineering</w:t>
            </w:r>
          </w:p>
          <w:p w:rsidR="00DB6F23" w:rsidRDefault="008110D4" w:rsidP="00DB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E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C4</w:t>
            </w:r>
            <w:r w:rsidR="00DB6F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Use of  programming technologies and computing environments</w:t>
            </w:r>
          </w:p>
          <w:p w:rsidR="00021930" w:rsidRDefault="00021930" w:rsidP="00DB6F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21930" w:rsidTr="00D11861">
        <w:tc>
          <w:tcPr>
            <w:tcW w:w="2358" w:type="dxa"/>
          </w:tcPr>
          <w:p w:rsidR="006D168D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AD00E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Honorable, responsible and ethic behavior</w:t>
            </w:r>
            <w:r w:rsidRPr="00B6560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as required by law, in order to insure the reputation of the profession.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31ECB" w:rsidRDefault="001572F5" w:rsidP="00B31E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2AB6">
              <w:rPr>
                <w:rFonts w:ascii="TimesNewRoman" w:hAnsi="TimesNewRoman" w:cs="TimesNewRoman"/>
                <w:sz w:val="24"/>
                <w:szCs w:val="24"/>
              </w:rPr>
              <w:t>The</w:t>
            </w:r>
            <w:r w:rsidR="00B31ECB">
              <w:rPr>
                <w:rFonts w:ascii="TimesNewRoman" w:hAnsi="TimesNewRoman" w:cs="TimesNewRoman"/>
                <w:sz w:val="24"/>
                <w:szCs w:val="24"/>
              </w:rPr>
              <w:t xml:space="preserve">oretical understanding of </w:t>
            </w:r>
            <w:r w:rsidRPr="00FD2AB6">
              <w:rPr>
                <w:rFonts w:ascii="TimesNewRoman" w:hAnsi="TimesNewRoman" w:cs="TimesNewRoman"/>
                <w:sz w:val="24"/>
                <w:szCs w:val="24"/>
              </w:rPr>
              <w:t xml:space="preserve"> general digital gray level  image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processing </w:t>
            </w:r>
            <w:r w:rsidRPr="00FD2AB6">
              <w:rPr>
                <w:rFonts w:ascii="TimesNewRoman" w:hAnsi="TimesNewRoman" w:cs="TimesNewRoman"/>
                <w:sz w:val="24"/>
                <w:szCs w:val="24"/>
              </w:rPr>
              <w:t>techniques</w:t>
            </w:r>
            <w:r w:rsidR="00B31ECB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21930" w:rsidRDefault="00B31ECB" w:rsidP="007C347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Developing in students the ability to implement the </w:t>
            </w:r>
            <w:r w:rsidRPr="00FD2AB6">
              <w:rPr>
                <w:rFonts w:ascii="TimesNewRoman" w:hAnsi="TimesNewRoman" w:cs="TimesNewRoman"/>
                <w:sz w:val="24"/>
                <w:szCs w:val="24"/>
              </w:rPr>
              <w:t xml:space="preserve">general digital gray level  image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processing </w:t>
            </w:r>
            <w:r w:rsidRPr="00FD2AB6">
              <w:rPr>
                <w:rFonts w:ascii="TimesNewRoman" w:hAnsi="TimesNewRoman" w:cs="TimesNewRoman"/>
                <w:sz w:val="24"/>
                <w:szCs w:val="24"/>
              </w:rPr>
              <w:t>techniques</w:t>
            </w:r>
            <w:r w:rsidR="001572F5" w:rsidRPr="00FD2AB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E6B0B">
              <w:rPr>
                <w:rFonts w:ascii="TimesNewRoman" w:hAnsi="TimesNewRoman" w:cs="TimesNewRoman"/>
                <w:sz w:val="24"/>
                <w:szCs w:val="24"/>
              </w:rPr>
              <w:t>using Matlab</w:t>
            </w:r>
            <w:r w:rsidR="001572F5" w:rsidRPr="00FD2AB6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1572F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Specific objectives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F1B74" w:rsidRDefault="00BF1B74" w:rsidP="00FA7D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Developing in students the ability to identify and analyze the specific problems of the image processing systems and  to propose solving approaches.</w:t>
            </w:r>
          </w:p>
          <w:p w:rsidR="00021930" w:rsidRDefault="00BF1B74" w:rsidP="00243E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Developing in students the ability to model and design </w:t>
            </w:r>
            <w:r w:rsidR="00243ED2">
              <w:rPr>
                <w:rFonts w:ascii="TimesNewRoman" w:hAnsi="TimesNewRoman" w:cs="TimesNewRoman"/>
                <w:sz w:val="24"/>
                <w:szCs w:val="24"/>
              </w:rPr>
              <w:t>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oftware/hardware image processing </w:t>
            </w:r>
            <w:r w:rsidR="00243ED2">
              <w:rPr>
                <w:rFonts w:ascii="TimesNewRoman" w:hAnsi="TimesNewRoman" w:cs="TimesNewRoman"/>
                <w:sz w:val="24"/>
                <w:szCs w:val="24"/>
              </w:rPr>
              <w:t>systems for specific applications.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</w:p>
    <w:tbl>
      <w:tblPr>
        <w:tblStyle w:val="TableGrid"/>
        <w:tblW w:w="0" w:type="auto"/>
        <w:tblLook w:val="04A0"/>
      </w:tblPr>
      <w:tblGrid>
        <w:gridCol w:w="4158"/>
        <w:gridCol w:w="3510"/>
        <w:gridCol w:w="1908"/>
      </w:tblGrid>
      <w:tr w:rsidR="00021930" w:rsidTr="00A6370E">
        <w:tc>
          <w:tcPr>
            <w:tcW w:w="4158" w:type="dxa"/>
          </w:tcPr>
          <w:p w:rsidR="00021930" w:rsidRDefault="00021930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3510" w:type="dxa"/>
          </w:tcPr>
          <w:p w:rsidR="00021930" w:rsidRDefault="00376C57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1908" w:type="dxa"/>
          </w:tcPr>
          <w:p w:rsidR="00021930" w:rsidRDefault="00376C5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BC1731" w:rsidTr="00A6370E">
        <w:tc>
          <w:tcPr>
            <w:tcW w:w="4158" w:type="dxa"/>
          </w:tcPr>
          <w:p w:rsidR="00BC1731" w:rsidRPr="00A6370E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E">
              <w:rPr>
                <w:rFonts w:ascii="Times New Roman" w:hAnsi="Times New Roman" w:cs="Times New Roman"/>
                <w:sz w:val="24"/>
                <w:szCs w:val="24"/>
              </w:rPr>
              <w:t>Introduction. Image Fundamentals</w:t>
            </w:r>
          </w:p>
        </w:tc>
        <w:tc>
          <w:tcPr>
            <w:tcW w:w="3510" w:type="dxa"/>
            <w:vMerge w:val="restart"/>
          </w:tcPr>
          <w:p w:rsidR="00BC1731" w:rsidRDefault="00BC1731" w:rsidP="00511CB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is based on videoprojection of slides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as communication and demonstration function); the oral communication method is the frontal problematization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BC1731" w:rsidRDefault="00BC1731" w:rsidP="00511CB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C1731" w:rsidRDefault="00BC1731" w:rsidP="00511CB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The course materials are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course notes, course slides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proposed exercises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(t</w:t>
            </w: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>eoretic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al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and for computer-solving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). </w:t>
            </w:r>
            <w:r>
              <w:rPr>
                <w:rFonts w:ascii="TimesNewRoman" w:hAnsi="TimesNewRoman" w:cs="TimesNewRoman"/>
                <w:sz w:val="24"/>
                <w:szCs w:val="24"/>
              </w:rPr>
              <w:t>All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material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are available in electronic form on the course website</w:t>
            </w:r>
            <w:r w:rsidRPr="00352F6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1h</w:t>
            </w:r>
          </w:p>
        </w:tc>
      </w:tr>
      <w:tr w:rsidR="00BC1731" w:rsidTr="00A6370E">
        <w:tc>
          <w:tcPr>
            <w:tcW w:w="4158" w:type="dxa"/>
          </w:tcPr>
          <w:p w:rsidR="00BC1731" w:rsidRPr="00A6370E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E">
              <w:rPr>
                <w:rFonts w:ascii="Times New Roman" w:hAnsi="Times New Roman" w:cs="Times New Roman"/>
                <w:sz w:val="24"/>
                <w:szCs w:val="24"/>
              </w:rPr>
              <w:t>Human Visual Sistem. Color Space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BC1731" w:rsidTr="00A6370E">
        <w:tc>
          <w:tcPr>
            <w:tcW w:w="4158" w:type="dxa"/>
          </w:tcPr>
          <w:p w:rsidR="00BC1731" w:rsidRPr="00A6370E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E">
              <w:rPr>
                <w:rFonts w:ascii="Times New Roman" w:hAnsi="Times New Roman" w:cs="Times New Roman"/>
                <w:sz w:val="24"/>
                <w:szCs w:val="24"/>
              </w:rPr>
              <w:t>Point operations (image enhancement, geometrical  transforms)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4h</w:t>
            </w:r>
          </w:p>
        </w:tc>
      </w:tr>
      <w:tr w:rsidR="00BC1731" w:rsidTr="00A6370E">
        <w:tc>
          <w:tcPr>
            <w:tcW w:w="4158" w:type="dxa"/>
          </w:tcPr>
          <w:p w:rsidR="00BC1731" w:rsidRPr="00A6370E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E">
              <w:rPr>
                <w:rFonts w:ascii="Times New Roman" w:hAnsi="Times New Roman" w:cs="Times New Roman"/>
                <w:sz w:val="24"/>
                <w:szCs w:val="24"/>
              </w:rPr>
              <w:t>Linear and nonlinear filtering in spatial domain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</w:tr>
      <w:tr w:rsidR="00BC1731" w:rsidTr="00A6370E">
        <w:tc>
          <w:tcPr>
            <w:tcW w:w="4158" w:type="dxa"/>
          </w:tcPr>
          <w:p w:rsidR="00BC1731" w:rsidRPr="00A6370E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Image morphology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89185C" w:rsidRDefault="00BC1731" w:rsidP="0089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C">
              <w:rPr>
                <w:rFonts w:ascii="Times New Roman" w:hAnsi="Times New Roman" w:cs="Times New Roman"/>
                <w:sz w:val="24"/>
                <w:szCs w:val="24"/>
              </w:rPr>
              <w:t>Integral operation (unitary transform, filtering in frequency domain, image restoration)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865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</w:tr>
      <w:tr w:rsidR="00BC1731" w:rsidTr="00A6370E">
        <w:tc>
          <w:tcPr>
            <w:tcW w:w="4158" w:type="dxa"/>
          </w:tcPr>
          <w:p w:rsidR="00BC1731" w:rsidRPr="0089185C" w:rsidRDefault="00BC173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C">
              <w:rPr>
                <w:rFonts w:ascii="Times New Roman" w:hAnsi="Times New Roman" w:cs="Times New Roman"/>
                <w:sz w:val="24"/>
                <w:szCs w:val="24"/>
              </w:rPr>
              <w:t>Image compression</w:t>
            </w:r>
          </w:p>
        </w:tc>
        <w:tc>
          <w:tcPr>
            <w:tcW w:w="3510" w:type="dxa"/>
            <w:vMerge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BC1731" w:rsidTr="00A6370E">
        <w:tc>
          <w:tcPr>
            <w:tcW w:w="415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lastRenderedPageBreak/>
              <w:t>Applications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731" w:rsidTr="00A6370E">
        <w:tc>
          <w:tcPr>
            <w:tcW w:w="415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731" w:rsidTr="00A6370E">
        <w:tc>
          <w:tcPr>
            <w:tcW w:w="415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731" w:rsidTr="00127451">
        <w:trPr>
          <w:trHeight w:val="1134"/>
        </w:trPr>
        <w:tc>
          <w:tcPr>
            <w:tcW w:w="9576" w:type="dxa"/>
            <w:gridSpan w:val="3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BC1731" w:rsidRPr="000B723B" w:rsidRDefault="00BC1731" w:rsidP="00716A1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1) C. Vertan, M. Ciuc: Tehnici Fundamentale de Prelucrarea şi Analiza Imaginilor, Ed. MatrixRom, Bucureşti, 2007.</w:t>
            </w:r>
          </w:p>
          <w:p w:rsidR="00BC1731" w:rsidRPr="000B723B" w:rsidRDefault="00BC1731" w:rsidP="00716A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0B723B">
              <w:rPr>
                <w:rFonts w:ascii="TimesNewRoman" w:hAnsi="TimesNewRoman" w:cs="TimesNewRoman"/>
                <w:sz w:val="24"/>
                <w:szCs w:val="24"/>
              </w:rPr>
              <w:t>) M. Ciuc, C. Vertan: Prelucrarea statistică a semnalelor, Ed. MatrixROM, Bucureşti, 2005.</w:t>
            </w:r>
          </w:p>
          <w:p w:rsidR="00BC1731" w:rsidRDefault="00BC1731" w:rsidP="00716A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3) http://alpha.imag.pub.ro/cursuri/</w:t>
            </w:r>
          </w:p>
          <w:p w:rsidR="00BC1731" w:rsidRPr="001D2223" w:rsidRDefault="00BC1731" w:rsidP="00716A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D2223">
              <w:rPr>
                <w:rFonts w:ascii="TimesNewRoman" w:hAnsi="TimesNewRoman" w:cs="TimesNewRoman"/>
                <w:sz w:val="24"/>
                <w:szCs w:val="24"/>
              </w:rPr>
              <w:t>4) K. R. Castleman: Digital Image Processing, Prentice Hall, 2005</w:t>
            </w:r>
          </w:p>
          <w:p w:rsidR="00BC1731" w:rsidRDefault="00BC1731" w:rsidP="00716A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D2223">
              <w:rPr>
                <w:rFonts w:ascii="TimesNewRoman" w:hAnsi="TimesNewRoman" w:cs="TimesNewRoman"/>
                <w:sz w:val="24"/>
                <w:szCs w:val="24"/>
              </w:rPr>
              <w:t>5) R. Gonzales, R. Woods: Digital Image Processing, Addison Wesley, 2006</w:t>
            </w:r>
          </w:p>
          <w:p w:rsidR="00BC1731" w:rsidRDefault="00BC1731" w:rsidP="00716A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731" w:rsidTr="00A6370E">
        <w:tc>
          <w:tcPr>
            <w:tcW w:w="4158" w:type="dxa"/>
          </w:tcPr>
          <w:p w:rsidR="00BC1731" w:rsidRDefault="00BC1731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8.2 Practical applications</w:t>
            </w: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7">
              <w:rPr>
                <w:rFonts w:ascii="Times New Roman" w:hAnsi="Times New Roman" w:cs="Times New Roman"/>
                <w:sz w:val="24"/>
                <w:szCs w:val="24"/>
              </w:rPr>
              <w:t>Introduction in Matlab. Image representation in Matlab. Image processing functions in Matlab</w:t>
            </w:r>
          </w:p>
        </w:tc>
        <w:tc>
          <w:tcPr>
            <w:tcW w:w="3510" w:type="dxa"/>
            <w:vMerge w:val="restart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is based on videoprojection of slides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as communication and demonstration function); the oral communication method is the frontal problematization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simulate, implement, test and evaluate in an independent manner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same problems by the continuous use of the computer with Matlab software.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The teaching materials are available in the lab guide, printed and on-line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042177">
              <w:rPr>
                <w:rFonts w:ascii="Times New Roman" w:hAnsi="Times New Roman" w:cs="Times New Roman"/>
                <w:sz w:val="24"/>
                <w:szCs w:val="24"/>
              </w:rPr>
              <w:t>Point operations for image enhancement. Geometric transforms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042177">
              <w:rPr>
                <w:rFonts w:ascii="Times New Roman" w:hAnsi="Times New Roman" w:cs="Times New Roman"/>
                <w:sz w:val="24"/>
                <w:szCs w:val="24"/>
              </w:rPr>
              <w:t>Linear and nonlinear filtering in spatial domain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0421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Image morphology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042177">
              <w:rPr>
                <w:rFonts w:ascii="Times New Roman" w:hAnsi="Times New Roman" w:cs="Times New Roman"/>
                <w:sz w:val="24"/>
                <w:szCs w:val="24"/>
              </w:rPr>
              <w:t xml:space="preserve">Unitary transforms. Image filtering in frequency domain. 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042177">
              <w:rPr>
                <w:rFonts w:ascii="Times New Roman" w:hAnsi="Times New Roman" w:cs="Times New Roman"/>
                <w:sz w:val="24"/>
                <w:szCs w:val="24"/>
              </w:rPr>
              <w:t>Image restoration. Image compression.</w:t>
            </w:r>
          </w:p>
        </w:tc>
        <w:tc>
          <w:tcPr>
            <w:tcW w:w="3510" w:type="dxa"/>
            <w:vMerge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Pr="00042177" w:rsidRDefault="00BC1731" w:rsidP="00511C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 laboratory test</w:t>
            </w: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BC1731" w:rsidTr="00A6370E">
        <w:tc>
          <w:tcPr>
            <w:tcW w:w="415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731" w:rsidTr="0063649B">
        <w:trPr>
          <w:trHeight w:val="848"/>
        </w:trPr>
        <w:tc>
          <w:tcPr>
            <w:tcW w:w="9576" w:type="dxa"/>
            <w:gridSpan w:val="3"/>
          </w:tcPr>
          <w:p w:rsidR="00BC1731" w:rsidRDefault="00BC173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BC1731" w:rsidRPr="000B723B" w:rsidRDefault="00BC1731" w:rsidP="006811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1) C. Vertan, M. Ciuc: Tehnici Fundamentale de Prelucrarea şi Analiza Imaginilor, Ed. MatrixRom, Bucureşti, 2007.</w:t>
            </w:r>
          </w:p>
          <w:p w:rsidR="00BC1731" w:rsidRPr="000B723B" w:rsidRDefault="00BC1731" w:rsidP="00681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2) </w:t>
            </w:r>
            <w:r w:rsidRPr="0006489C">
              <w:rPr>
                <w:rFonts w:ascii="TimesNewRoman" w:hAnsi="TimesNewRoman" w:cs="TimesNewRoman"/>
                <w:sz w:val="24"/>
                <w:szCs w:val="24"/>
              </w:rPr>
              <w:t xml:space="preserve">Constantin Vertan, Mihai Ciuc, Marta Zamfir: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Prelucrarea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Pr="0006489C">
              <w:rPr>
                <w:rFonts w:ascii="TimesNewRoman" w:hAnsi="TimesNewRoman" w:cs="TimesNewRoman"/>
                <w:sz w:val="24"/>
                <w:szCs w:val="24"/>
              </w:rPr>
              <w:t>Analiza Imaginilor: Îndrumar de laborator. Ed. Printech, Bucureşti, 2001.</w:t>
            </w:r>
          </w:p>
          <w:p w:rsidR="00BC1731" w:rsidRDefault="00BC1731" w:rsidP="00681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3) M. Ciuc, C. Vertan: Prelucrarea statistică a semnalelor, Ed. MatrixROM, Bucureşti, 2005.</w:t>
            </w:r>
          </w:p>
          <w:p w:rsidR="004A5020" w:rsidRDefault="00BC1731" w:rsidP="00681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4) </w:t>
            </w:r>
            <w:r w:rsidR="004A5020" w:rsidRPr="004A5020">
              <w:rPr>
                <w:rFonts w:ascii="TimesNewRoman" w:hAnsi="TimesNewRoman" w:cs="TimesNewRoman"/>
                <w:sz w:val="24"/>
                <w:szCs w:val="24"/>
              </w:rPr>
              <w:t>http://alpha.imag.pub.ro/cursuri/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A5020" w:rsidRDefault="004A5020" w:rsidP="004A50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C709B4">
              <w:rPr>
                <w:rFonts w:ascii="TimesNewRoman" w:hAnsi="TimesNewRoman" w:cs="TimesNewRoman"/>
                <w:sz w:val="24"/>
                <w:szCs w:val="24"/>
              </w:rPr>
              <w:t xml:space="preserve">Digital imaging has become a mature, fast-growing market. The consumer transition to digital imaging is complete, the industry closely following the trend. The industry has a growing demand for skilled, digital image savvy engineers, with a strong background in electronics, embedded systems and information technology in order to keep the momentum of producing </w:t>
            </w:r>
            <w:r w:rsidRPr="00C709B4">
              <w:rPr>
                <w:rFonts w:ascii="TimesNewRoman" w:hAnsi="TimesNewRoman" w:cs="TimesNewRoman"/>
                <w:sz w:val="24"/>
                <w:szCs w:val="24"/>
              </w:rPr>
              <w:lastRenderedPageBreak/>
              <w:t>new hardware and software applications.</w:t>
            </w:r>
          </w:p>
          <w:p w:rsidR="004A5020" w:rsidRDefault="004A5020" w:rsidP="004A50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A5020" w:rsidRPr="008A5AFF" w:rsidRDefault="004A5020" w:rsidP="004A50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This curricula is adapted to the current developments and evolutions from the european economy of services in the ICT domain.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With the current progress of electronic technology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the target applications are unlimited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spanning all areas from 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“consum</w:t>
            </w:r>
            <w:r>
              <w:rPr>
                <w:rFonts w:ascii="TimesNewRoman" w:hAnsi="TimesNewRoman" w:cs="TimesNewRoman"/>
                <w:sz w:val="24"/>
                <w:szCs w:val="24"/>
              </w:rPr>
              <w:t>er technologies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” (</w:t>
            </w:r>
            <w:r>
              <w:rPr>
                <w:rFonts w:ascii="TimesNewRoman" w:hAnsi="TimesNewRoman" w:cs="TimesNewRoman"/>
                <w:sz w:val="24"/>
                <w:szCs w:val="24"/>
              </w:rPr>
              <w:t>digital cameras, tablets and smartphones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>
              <w:rPr>
                <w:rFonts w:ascii="TimesNewRoman" w:hAnsi="TimesNewRoman" w:cs="TimesNewRoman"/>
                <w:sz w:val="24"/>
                <w:szCs w:val="24"/>
              </w:rPr>
              <w:t>medical markets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medical image analysis and processing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>
              <w:rPr>
                <w:rFonts w:ascii="TimesNewRoman" w:hAnsi="TimesNewRoman" w:cs="TimesNewRoman"/>
                <w:sz w:val="24"/>
                <w:szCs w:val="24"/>
              </w:rPr>
              <w:t>military applications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remote sensing based applications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>
              <w:rPr>
                <w:rFonts w:ascii="TimesNewRoman" w:hAnsi="TimesNewRoman" w:cs="TimesNewRoman"/>
                <w:sz w:val="24"/>
                <w:szCs w:val="24"/>
              </w:rPr>
              <w:t>general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securit</w:t>
            </w:r>
            <w:r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surveillance and biometry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industrial automatization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quality control, product handling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), robotic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man-machine interfaces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many more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4A5020" w:rsidRPr="008A5AFF" w:rsidRDefault="004A5020" w:rsidP="004A50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A5020" w:rsidRDefault="004A5020" w:rsidP="004A50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graduates will be empowered with the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adapted to the requirements of the current qualifications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as well as a modern, competitive scientific and technical training, that facilitate a fast employment after graduation. This approach is perfectly fitted to the general policies of the Politehnica University of Bucharest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from the points of view of content, structure, offered abilities and international opening.</w:t>
            </w:r>
          </w:p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0DD4" w:rsidTr="001B0DD4"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0D4465" w:rsidTr="001B0DD4">
        <w:tc>
          <w:tcPr>
            <w:tcW w:w="2394" w:type="dxa"/>
          </w:tcPr>
          <w:p w:rsidR="000D4465" w:rsidRDefault="000D446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Lectures</w:t>
            </w:r>
          </w:p>
        </w:tc>
        <w:tc>
          <w:tcPr>
            <w:tcW w:w="2394" w:type="dxa"/>
          </w:tcPr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knowledge of the fundamental theoretical constructions of the 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knowledge of  the application of the theory to specific practical situations;</w:t>
            </w:r>
          </w:p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differential analysis of theoretical methods and algorithms.</w:t>
            </w:r>
          </w:p>
        </w:tc>
        <w:tc>
          <w:tcPr>
            <w:tcW w:w="2394" w:type="dxa"/>
          </w:tcPr>
          <w:p w:rsidR="000D4465" w:rsidRDefault="000D4465" w:rsidP="000D44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Written tests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 the semester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at announced dates; </w:t>
            </w:r>
          </w:p>
          <w:p w:rsidR="000D4465" w:rsidRDefault="000D4465" w:rsidP="000D44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</w:t>
            </w:r>
          </w:p>
          <w:p w:rsidR="000D4465" w:rsidRDefault="000D4465" w:rsidP="000D44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4465" w:rsidRDefault="000D4465" w:rsidP="000D44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subjects cover the entire curricula, realiz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 synthesis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the comparative theoretical knowledge and its application through exerci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practical problems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D4465" w:rsidRDefault="000D446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  <w:p w:rsidR="000D4465" w:rsidRDefault="000D446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4465" w:rsidRDefault="000D446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4465" w:rsidRDefault="000D446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1B0DD4" w:rsidTr="001B0DD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D4465" w:rsidTr="001B0DD4">
        <w:tc>
          <w:tcPr>
            <w:tcW w:w="2394" w:type="dxa"/>
          </w:tcPr>
          <w:p w:rsidR="000D4465" w:rsidRDefault="000D4465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10.5 Practical applications</w:t>
            </w:r>
          </w:p>
        </w:tc>
        <w:tc>
          <w:tcPr>
            <w:tcW w:w="2394" w:type="dxa"/>
          </w:tcPr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knowing the design templates for image processing  algorithms used for solving a given problem;</w:t>
            </w:r>
          </w:p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knowledge of the coding [in Matlab] of a image </w:t>
            </w:r>
            <w:r w:rsidR="002F4C35">
              <w:rPr>
                <w:rFonts w:ascii="TimesNewRoman" w:hAnsi="TimesNewRoman" w:cs="TimesNewRoman"/>
                <w:sz w:val="24"/>
                <w:szCs w:val="24"/>
              </w:rPr>
              <w:t>processing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algorithm;</w:t>
            </w:r>
          </w:p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proof of function of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an image </w:t>
            </w:r>
            <w:r w:rsidR="002F4C35">
              <w:rPr>
                <w:rFonts w:ascii="TimesNewRoman" w:hAnsi="TimesNewRoman" w:cs="TimesNewRoman"/>
                <w:sz w:val="24"/>
                <w:szCs w:val="24"/>
              </w:rPr>
              <w:t xml:space="preserve">processing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algorithm implemented by the student.  </w:t>
            </w:r>
          </w:p>
        </w:tc>
        <w:tc>
          <w:tcPr>
            <w:tcW w:w="2394" w:type="dxa"/>
          </w:tcPr>
          <w:p w:rsidR="000D4465" w:rsidRDefault="000D4465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Final lab examination, with a theoretical part and a practical part. The theoretical part is checked by a questionnaire; the practical part requires the solving by the student (implementation,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testing, functioning) of a solution to a practical problem.</w:t>
            </w:r>
          </w:p>
        </w:tc>
        <w:tc>
          <w:tcPr>
            <w:tcW w:w="2394" w:type="dxa"/>
          </w:tcPr>
          <w:p w:rsidR="000D4465" w:rsidRDefault="007A55B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40%</w:t>
            </w:r>
          </w:p>
        </w:tc>
      </w:tr>
      <w:tr w:rsidR="001B0DD4" w:rsidTr="001B0DD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B0DD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10.6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Minimal performance standard</w:t>
            </w:r>
          </w:p>
        </w:tc>
      </w:tr>
      <w:tr w:rsidR="002265BC" w:rsidTr="00574715">
        <w:tc>
          <w:tcPr>
            <w:tcW w:w="9576" w:type="dxa"/>
            <w:gridSpan w:val="4"/>
          </w:tcPr>
          <w:p w:rsidR="002265BC" w:rsidRDefault="002265BC" w:rsidP="00511CB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modeling a real-life simple image processing problem and specification of the processing chain needed for solving the problem;</w:t>
            </w:r>
          </w:p>
          <w:p w:rsidR="002265BC" w:rsidRDefault="002265BC" w:rsidP="002265B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design, implementation and proof of functionality of a simple solution of a enhancement/filtering/restoration/compression problem.</w:t>
            </w:r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3C5AD3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C5AD3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3C5AD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01.10.2013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C155F3">
        <w:rPr>
          <w:rFonts w:ascii="TimesNewRoman" w:hAnsi="TimesNewRoman" w:cs="TimesNewRoman"/>
          <w:sz w:val="24"/>
          <w:szCs w:val="24"/>
        </w:rPr>
        <w:t>Lect. Dr. eng. Marta M. Zamfir</w:t>
      </w:r>
      <w:r>
        <w:rPr>
          <w:rFonts w:ascii="TimesNewRoman" w:hAnsi="TimesNewRoman" w:cs="TimesNewRoman"/>
          <w:sz w:val="24"/>
          <w:szCs w:val="24"/>
        </w:rPr>
        <w:tab/>
      </w:r>
      <w:r w:rsidR="00C155F3">
        <w:rPr>
          <w:rFonts w:ascii="TimesNewRoman" w:hAnsi="TimesNewRoman" w:cs="TimesNewRoman"/>
          <w:sz w:val="24"/>
          <w:szCs w:val="24"/>
        </w:rPr>
        <w:t>Lect. Dr. eng. Marta M. Zamfir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55F3" w:rsidRDefault="00C155F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3C5AD3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3C5AD3" w:rsidRDefault="003C5AD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5AD3" w:rsidRPr="001B0DD4" w:rsidRDefault="003C5AD3" w:rsidP="003C5A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07.10.2013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Prof. Dr. Ing. S. Pa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" w:hAnsi="TimesNewRoman" w:cs="TimesNewRoman"/>
          <w:sz w:val="24"/>
          <w:szCs w:val="24"/>
        </w:rPr>
        <w:t>ca</w:t>
      </w:r>
    </w:p>
    <w:sectPr w:rsidR="003C5AD3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13E8D"/>
    <w:rsid w:val="00021930"/>
    <w:rsid w:val="00042177"/>
    <w:rsid w:val="000D4465"/>
    <w:rsid w:val="00112880"/>
    <w:rsid w:val="00114889"/>
    <w:rsid w:val="001572F5"/>
    <w:rsid w:val="001A3E06"/>
    <w:rsid w:val="001B0DD4"/>
    <w:rsid w:val="002254F0"/>
    <w:rsid w:val="002265BC"/>
    <w:rsid w:val="00243ED2"/>
    <w:rsid w:val="002B7C87"/>
    <w:rsid w:val="002C7100"/>
    <w:rsid w:val="002F4C35"/>
    <w:rsid w:val="00376C57"/>
    <w:rsid w:val="003C5AD3"/>
    <w:rsid w:val="00413E8D"/>
    <w:rsid w:val="004A5020"/>
    <w:rsid w:val="004B1662"/>
    <w:rsid w:val="004E3D09"/>
    <w:rsid w:val="004E6B0B"/>
    <w:rsid w:val="00537A7F"/>
    <w:rsid w:val="005A0978"/>
    <w:rsid w:val="005C32F4"/>
    <w:rsid w:val="00617C83"/>
    <w:rsid w:val="00663872"/>
    <w:rsid w:val="0068118D"/>
    <w:rsid w:val="006D168D"/>
    <w:rsid w:val="00716A1C"/>
    <w:rsid w:val="007515EF"/>
    <w:rsid w:val="007A55BE"/>
    <w:rsid w:val="007C3474"/>
    <w:rsid w:val="007E37AD"/>
    <w:rsid w:val="008110D4"/>
    <w:rsid w:val="00824B05"/>
    <w:rsid w:val="0083254D"/>
    <w:rsid w:val="0089185C"/>
    <w:rsid w:val="008A7E9F"/>
    <w:rsid w:val="008F3411"/>
    <w:rsid w:val="00986631"/>
    <w:rsid w:val="009E4EC3"/>
    <w:rsid w:val="009F0025"/>
    <w:rsid w:val="00A36725"/>
    <w:rsid w:val="00A6370E"/>
    <w:rsid w:val="00A97D63"/>
    <w:rsid w:val="00AD00ED"/>
    <w:rsid w:val="00B31ECB"/>
    <w:rsid w:val="00B85412"/>
    <w:rsid w:val="00BC1731"/>
    <w:rsid w:val="00BC3D8A"/>
    <w:rsid w:val="00BC65D1"/>
    <w:rsid w:val="00BF1B74"/>
    <w:rsid w:val="00BF26C4"/>
    <w:rsid w:val="00C134B2"/>
    <w:rsid w:val="00C155F3"/>
    <w:rsid w:val="00C1573E"/>
    <w:rsid w:val="00C31E42"/>
    <w:rsid w:val="00C32E19"/>
    <w:rsid w:val="00C34B31"/>
    <w:rsid w:val="00CA31DE"/>
    <w:rsid w:val="00D22927"/>
    <w:rsid w:val="00D527F2"/>
    <w:rsid w:val="00D6388F"/>
    <w:rsid w:val="00D8654D"/>
    <w:rsid w:val="00DB6F23"/>
    <w:rsid w:val="00E120B6"/>
    <w:rsid w:val="00E869A3"/>
    <w:rsid w:val="00E962AD"/>
    <w:rsid w:val="00EC4411"/>
    <w:rsid w:val="00EC4CF7"/>
    <w:rsid w:val="00F214E7"/>
    <w:rsid w:val="00F24CD9"/>
    <w:rsid w:val="00F72CF6"/>
    <w:rsid w:val="00FA322E"/>
    <w:rsid w:val="00FA7DE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DB6F23"/>
  </w:style>
  <w:style w:type="character" w:styleId="Hyperlink">
    <w:name w:val="Hyperlink"/>
    <w:basedOn w:val="DefaultParagraphFont"/>
    <w:uiPriority w:val="99"/>
    <w:unhideWhenUsed/>
    <w:rsid w:val="004A5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55</cp:revision>
  <cp:lastPrinted>2013-12-04T10:42:00Z</cp:lastPrinted>
  <dcterms:created xsi:type="dcterms:W3CDTF">2013-11-06T13:27:00Z</dcterms:created>
  <dcterms:modified xsi:type="dcterms:W3CDTF">2013-12-06T09:12:00Z</dcterms:modified>
</cp:coreProperties>
</file>